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m"/>
        <w:bidi w:val="0"/>
      </w:pP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25400</wp:posOffset>
            </wp:positionV>
            <wp:extent cx="933450" cy="1244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G_7275.he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7275.heic" descr="IMG_7275.heic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33450" cy="1244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m"/>
        <w:bidi w:val="0"/>
      </w:pPr>
      <w:r>
        <w:rPr>
          <w:rtl w:val="0"/>
          <w:lang w:val="it-IT"/>
        </w:rPr>
        <w:t>Bruno Pic</w:t>
      </w:r>
    </w:p>
    <w:p>
      <w:pPr>
        <w:pStyle w:val="Informations de contact"/>
        <w:bidi w:val="0"/>
      </w:pPr>
    </w:p>
    <w:p>
      <w:pPr>
        <w:pStyle w:val="Informations de contact"/>
        <w:bidi w:val="0"/>
      </w:pPr>
      <w:r>
        <w:rPr>
          <w:rFonts w:cs="Arial Unicode MS" w:eastAsia="Arial Unicode MS"/>
          <w:rtl w:val="0"/>
          <w:lang w:val="fr-FR"/>
        </w:rPr>
        <w:t>06 34 17 26 97</w:t>
      </w:r>
      <w:r>
        <w:rPr>
          <w:rFonts w:cs="Arial Unicode MS" w:eastAsia="Arial Unicode MS"/>
          <w:rtl w:val="0"/>
        </w:rPr>
        <w:t xml:space="preserve">       </w:t>
      </w:r>
      <w:r>
        <w:rPr>
          <w:rFonts w:cs="Arial Unicode MS" w:eastAsia="Arial Unicode MS"/>
          <w:rtl w:val="0"/>
          <w:lang w:val="it-IT"/>
        </w:rPr>
        <w:t>bruno.pic1970@gmail.com</w:t>
      </w:r>
      <w:r>
        <w:rPr>
          <w:rFonts w:cs="Arial Unicode MS" w:eastAsia="Arial Unicode MS"/>
          <w:rtl w:val="0"/>
        </w:rPr>
        <w:t xml:space="preserve">         </w:t>
      </w:r>
      <w:r>
        <w:rPr>
          <w:rFonts w:cs="Arial Unicode MS" w:eastAsia="Arial Unicode MS"/>
          <w:rtl w:val="0"/>
          <w:lang w:val="fr-FR"/>
        </w:rPr>
        <w:t xml:space="preserve">17 rue Castagnary 75015 Paris </w:t>
      </w:r>
    </w:p>
    <w:p>
      <w:pPr>
        <w:pStyle w:val="Titre"/>
        <w:bidi w:val="0"/>
      </w:pPr>
    </w:p>
    <w:p>
      <w:pPr>
        <w:pStyle w:val="Titre"/>
        <w:bidi w:val="0"/>
      </w:pPr>
    </w:p>
    <w:p>
      <w:pPr>
        <w:pStyle w:val="Titre"/>
        <w:bidi w:val="0"/>
      </w:pPr>
    </w:p>
    <w:p>
      <w:pPr>
        <w:pStyle w:val="Titre"/>
        <w:bidi w:val="0"/>
      </w:pPr>
    </w:p>
    <w:p>
      <w:pPr>
        <w:pStyle w:val="Titre"/>
        <w:bidi w:val="0"/>
      </w:pPr>
      <w:r>
        <w:rPr>
          <w:rFonts w:cs="Arial Unicode MS" w:eastAsia="Arial Unicode MS"/>
          <w:rtl w:val="0"/>
          <w:lang w:val="en-US"/>
        </w:rPr>
        <w:t>Profil</w:t>
      </w:r>
    </w:p>
    <w:p>
      <w:pPr>
        <w:pStyle w:val="Corps"/>
        <w:bidi w:val="0"/>
      </w:pPr>
      <w:r>
        <w:rPr>
          <w:rtl w:val="0"/>
          <w:lang w:val="fr-FR"/>
        </w:rPr>
        <w:t>Plus de 25 ans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exp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rience me permettent de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pondre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exigence de missions avec un haut niveau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 xml:space="preserve">autonomie,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des missions bas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 sur les 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tiers de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assurance ainsi qu</w:t>
      </w:r>
      <w:r>
        <w:rPr>
          <w:rtl w:val="0"/>
          <w:lang w:val="fr-FR"/>
        </w:rPr>
        <w:t xml:space="preserve">’à </w:t>
      </w:r>
      <w:r>
        <w:rPr>
          <w:rtl w:val="0"/>
          <w:lang w:val="fr-FR"/>
        </w:rPr>
        <w:t>des missions de management d'entit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s.</w:t>
      </w:r>
    </w:p>
    <w:p>
      <w:pPr>
        <w:pStyle w:val="Titre"/>
        <w:bidi w:val="0"/>
      </w:pPr>
    </w:p>
    <w:p>
      <w:pPr>
        <w:pStyle w:val="Titre"/>
        <w:bidi w:val="0"/>
      </w:pPr>
      <w:r>
        <w:rPr>
          <w:rFonts w:cs="Arial Unicode MS" w:eastAsia="Arial Unicode MS"/>
          <w:rtl w:val="0"/>
        </w:rPr>
        <w:t>Exp</w:t>
      </w:r>
      <w:r>
        <w:rPr>
          <w:rFonts w:cs="Arial Unicode MS" w:eastAsia="Arial Unicode MS" w:hint="default"/>
          <w:rtl w:val="0"/>
          <w:lang w:val="fr-FR"/>
        </w:rPr>
        <w:t>é</w:t>
      </w:r>
      <w:r>
        <w:rPr>
          <w:rFonts w:cs="Arial Unicode MS" w:eastAsia="Arial Unicode MS"/>
          <w:rtl w:val="0"/>
          <w:lang w:val="en-US"/>
        </w:rPr>
        <w:t>rience</w:t>
      </w:r>
    </w:p>
    <w:p>
      <w:pPr>
        <w:pStyle w:val="Titre secondaire"/>
        <w:bidi w:val="0"/>
      </w:pPr>
    </w:p>
    <w:p>
      <w:pPr>
        <w:pStyle w:val="Titre secondaire"/>
        <w:bidi w:val="0"/>
      </w:pPr>
      <w:r>
        <w:rPr>
          <w:rFonts w:cs="Arial Unicode MS" w:eastAsia="Arial Unicode MS"/>
          <w:rtl w:val="0"/>
          <w:lang w:val="fr-FR"/>
        </w:rPr>
        <w:t>Directeur du marche de l</w:t>
      </w:r>
      <w:r>
        <w:rPr>
          <w:rFonts w:cs="Arial Unicode MS" w:eastAsia="Arial Unicode MS" w:hint="default"/>
          <w:rtl w:val="0"/>
          <w:lang w:val="fr-FR"/>
        </w:rPr>
        <w:t>’</w:t>
      </w:r>
      <w:r>
        <w:rPr>
          <w:rFonts w:cs="Arial Unicode MS" w:eastAsia="Arial Unicode MS"/>
          <w:rtl w:val="0"/>
          <w:lang w:val="fr-FR"/>
        </w:rPr>
        <w:t>assurance et de la protection sociale, Niji, paris</w:t>
      </w:r>
      <w:r>
        <w:rPr>
          <w:rFonts w:cs="Arial Unicode MS" w:eastAsia="Arial Unicode MS" w:hint="default"/>
          <w:rtl w:val="0"/>
          <w:lang w:val="en-US"/>
        </w:rPr>
        <w:t xml:space="preserve"> — </w:t>
      </w:r>
      <w:r>
        <w:rPr>
          <w:rFonts w:cs="Arial Unicode MS" w:eastAsia="Arial Unicode MS"/>
          <w:rtl w:val="0"/>
          <w:lang w:val="fr-FR"/>
        </w:rPr>
        <w:t>2024-aujourd</w:t>
      </w:r>
      <w:r>
        <w:rPr>
          <w:rFonts w:cs="Arial Unicode MS" w:eastAsia="Arial Unicode MS" w:hint="default"/>
          <w:rtl w:val="0"/>
          <w:lang w:val="fr-FR"/>
        </w:rPr>
        <w:t>’</w:t>
      </w:r>
      <w:r>
        <w:rPr>
          <w:rFonts w:cs="Arial Unicode MS" w:eastAsia="Arial Unicode MS"/>
          <w:rtl w:val="0"/>
          <w:lang w:val="fr-FR"/>
        </w:rPr>
        <w:t>hui</w:t>
      </w:r>
    </w:p>
    <w:p>
      <w:pPr>
        <w:pStyle w:val="Corps"/>
        <w:bidi w:val="0"/>
      </w:pPr>
      <w:r>
        <w:rPr>
          <w:rtl w:val="0"/>
          <w:lang w:val="fr-FR"/>
        </w:rPr>
        <w:t>Pilotage commercial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 xml:space="preserve">une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quipe de 5 commerciaux (+2M</w:t>
      </w:r>
      <w:r>
        <w:rPr>
          <w:rtl w:val="0"/>
          <w:lang w:val="fr-FR"/>
        </w:rPr>
        <w:t xml:space="preserve">€ </w:t>
      </w:r>
      <w:r>
        <w:rPr>
          <w:rtl w:val="0"/>
          <w:lang w:val="fr-FR"/>
        </w:rPr>
        <w:t>sur un CA 2023 de 10M</w:t>
      </w:r>
      <w:r>
        <w:rPr>
          <w:rtl w:val="0"/>
          <w:lang w:val="fr-FR"/>
        </w:rPr>
        <w:t>€</w:t>
      </w:r>
      <w:r>
        <w:rPr>
          <w:rtl w:val="0"/>
          <w:lang w:val="fr-FR"/>
        </w:rPr>
        <w:t>,  3 nouveaux clients,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ation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une offre sur les OAV) - Clients : Malakoff Humanis, ag2r, Apical,  Verlingue</w:t>
      </w:r>
    </w:p>
    <w:p>
      <w:pPr>
        <w:pStyle w:val="Titre secondaire"/>
        <w:bidi w:val="0"/>
      </w:pPr>
      <w:r>
        <w:rPr>
          <w:rFonts w:cs="Arial Unicode MS" w:eastAsia="Arial Unicode MS"/>
          <w:rtl w:val="0"/>
          <w:lang w:val="fr-FR"/>
        </w:rPr>
        <w:t>Directeur du marche de la protection sociale, Sopra steria</w:t>
      </w:r>
      <w:r>
        <w:rPr>
          <w:rFonts w:cs="Arial Unicode MS" w:eastAsia="Arial Unicode MS" w:hint="default"/>
          <w:rtl w:val="0"/>
          <w:lang w:val="en-US"/>
        </w:rPr>
        <w:t xml:space="preserve"> — </w:t>
      </w:r>
      <w:r>
        <w:rPr>
          <w:rFonts w:cs="Arial Unicode MS" w:eastAsia="Arial Unicode MS"/>
          <w:rtl w:val="0"/>
          <w:lang w:val="fr-FR"/>
        </w:rPr>
        <w:t>2022-2024</w:t>
      </w:r>
    </w:p>
    <w:p>
      <w:pPr>
        <w:pStyle w:val="Corps"/>
        <w:bidi w:val="0"/>
      </w:pPr>
      <w:r>
        <w:rPr>
          <w:rtl w:val="0"/>
          <w:lang w:val="fr-FR"/>
        </w:rPr>
        <w:t>Animation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 xml:space="preserve">une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quipe de 3 commerciaux et de deux avant ventes (+10M</w:t>
      </w:r>
      <w:r>
        <w:rPr>
          <w:rtl w:val="0"/>
          <w:lang w:val="fr-FR"/>
        </w:rPr>
        <w:t xml:space="preserve">€ </w:t>
      </w:r>
      <w:r>
        <w:rPr>
          <w:rtl w:val="0"/>
          <w:lang w:val="fr-FR"/>
        </w:rPr>
        <w:t>sur un CA 2021 de 25M</w:t>
      </w:r>
      <w:r>
        <w:rPr>
          <w:rtl w:val="0"/>
          <w:lang w:val="fr-FR"/>
        </w:rPr>
        <w:t>€</w:t>
      </w:r>
      <w:r>
        <w:rPr>
          <w:rtl w:val="0"/>
          <w:lang w:val="fr-FR"/>
        </w:rPr>
        <w:t>) - Clients : ag2r, Malakoff</w: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1308100</wp:posOffset>
                </wp:positionV>
                <wp:extent cx="444500" cy="1397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Group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139700"/>
                          <a:chOff x="0" y="0"/>
                          <a:chExt cx="444500" cy="139700"/>
                        </a:xfrm>
                      </wpg:grpSpPr>
                      <wps:wsp>
                        <wps:cNvPr id="1073741826" name="Carré"/>
                        <wps:cNvSpPr/>
                        <wps:spPr>
                          <a:xfrm>
                            <a:off x="304800" y="0"/>
                            <a:ext cx="139700" cy="1397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Off val="4712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7" name="Carré"/>
                        <wps:cNvSpPr/>
                        <wps:spPr>
                          <a:xfrm>
                            <a:off x="152400" y="0"/>
                            <a:ext cx="139700" cy="1397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satOff val="14110"/>
                              <a:lumOff val="5289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8" name="Carré"/>
                        <wps:cNvSpPr/>
                        <wps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Off val="4781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60.0pt;margin-top:103.0pt;width:35.0pt;height:11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444500,139700">
                <w10:wrap type="through" side="bothSides" anchorx="page" anchory="page"/>
                <v:rect id="_x0000_s1027" style="position:absolute;left:304800;top:0;width:139700;height:139700;">
                  <v:fill color="#00A3DA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28" style="position:absolute;left:152400;top:0;width:139700;height:139700;">
                  <v:fill color="#FF4013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29" style="position:absolute;left:0;top:0;width:139700;height:139700;">
                  <v:fill color="#FEC7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tl w:val="0"/>
          <w:lang w:val="fr-FR"/>
        </w:rPr>
        <w:t xml:space="preserve"> Humanis, Klesia, Apicil</w:t>
      </w:r>
    </w:p>
    <w:p>
      <w:pPr>
        <w:pStyle w:val="Titre secondaire"/>
        <w:bidi w:val="0"/>
      </w:pPr>
      <w:r>
        <w:rPr>
          <w:rFonts w:cs="Arial Unicode MS" w:eastAsia="Arial Unicode MS"/>
          <w:rtl w:val="0"/>
          <w:lang w:val="fr-FR"/>
        </w:rPr>
        <w:t>Directeur pole banque &amp; assurance et de l</w:t>
      </w:r>
      <w:r>
        <w:rPr>
          <w:rFonts w:cs="Arial Unicode MS" w:eastAsia="Arial Unicode MS" w:hint="default"/>
          <w:rtl w:val="0"/>
          <w:lang w:val="fr-FR"/>
        </w:rPr>
        <w:t>’</w:t>
      </w:r>
      <w:r>
        <w:rPr>
          <w:rFonts w:cs="Arial Unicode MS" w:eastAsia="Arial Unicode MS"/>
          <w:rtl w:val="0"/>
          <w:lang w:val="fr-FR"/>
        </w:rPr>
        <w:t>innovation, apside, paris</w:t>
      </w:r>
      <w:r>
        <w:rPr>
          <w:rFonts w:cs="Arial Unicode MS" w:eastAsia="Arial Unicode MS" w:hint="default"/>
          <w:rtl w:val="0"/>
          <w:lang w:val="en-US"/>
        </w:rPr>
        <w:t xml:space="preserve"> — </w:t>
      </w:r>
      <w:r>
        <w:rPr>
          <w:rFonts w:cs="Arial Unicode MS" w:eastAsia="Arial Unicode MS"/>
          <w:rtl w:val="0"/>
          <w:lang w:val="fr-FR"/>
        </w:rPr>
        <w:t>2020-2022</w:t>
      </w:r>
    </w:p>
    <w:p>
      <w:pPr>
        <w:pStyle w:val="Corps"/>
        <w:bidi w:val="0"/>
      </w:pPr>
      <w:r>
        <w:rPr>
          <w:rtl w:val="0"/>
          <w:lang w:val="fr-FR"/>
        </w:rPr>
        <w:t>Manager le P&amp;L de 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quipe parisienne Banque &amp; Assurance (200 consultants, 8 commerciaux, 2 RH, 2 assistantes) - Transformation du business model global (R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sultats : +10 consultants, +5M</w:t>
      </w:r>
      <w:r>
        <w:rPr>
          <w:rtl w:val="0"/>
          <w:lang w:val="fr-FR"/>
        </w:rPr>
        <w:t xml:space="preserve">€ </w:t>
      </w:r>
      <w:r>
        <w:rPr>
          <w:rtl w:val="0"/>
          <w:lang w:val="fr-FR"/>
        </w:rPr>
        <w:t>sur un CA 2019 de 18M</w:t>
      </w:r>
      <w:r>
        <w:rPr>
          <w:rtl w:val="0"/>
          <w:lang w:val="fr-FR"/>
        </w:rPr>
        <w:t xml:space="preserve">€ </w:t>
      </w:r>
      <w:r>
        <w:rPr>
          <w:rtl w:val="0"/>
          <w:lang w:val="fr-FR"/>
        </w:rPr>
        <w:t>avec une marge am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lior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de 10%) - Clients : SG, BNPP, Generali, Allianz, MAIF, AEMA</w:t>
      </w:r>
    </w:p>
    <w:p>
      <w:pPr>
        <w:pStyle w:val="Titre secondaire"/>
        <w:bidi w:val="0"/>
      </w:pPr>
      <w:r>
        <w:rPr>
          <w:rFonts w:cs="Arial Unicode MS" w:eastAsia="Arial Unicode MS"/>
          <w:rtl w:val="0"/>
          <w:lang w:val="fr-FR"/>
        </w:rPr>
        <w:t>Directeur p</w:t>
      </w:r>
      <w:r>
        <w:rPr>
          <w:rFonts w:cs="Arial Unicode MS" w:eastAsia="Arial Unicode MS" w:hint="default"/>
          <w:rtl w:val="0"/>
          <w:lang w:val="fr-FR"/>
        </w:rPr>
        <w:t>ô</w:t>
      </w:r>
      <w:r>
        <w:rPr>
          <w:rFonts w:cs="Arial Unicode MS" w:eastAsia="Arial Unicode MS"/>
          <w:rtl w:val="0"/>
          <w:lang w:val="fr-FR"/>
        </w:rPr>
        <w:t>le conseil, Sodifrance, paris</w:t>
      </w:r>
      <w:r>
        <w:rPr>
          <w:rFonts w:cs="Arial Unicode MS" w:eastAsia="Arial Unicode MS" w:hint="default"/>
          <w:rtl w:val="0"/>
          <w:lang w:val="en-US"/>
        </w:rPr>
        <w:t xml:space="preserve"> — </w:t>
      </w:r>
      <w:r>
        <w:rPr>
          <w:rFonts w:cs="Arial Unicode MS" w:eastAsia="Arial Unicode MS"/>
          <w:rtl w:val="0"/>
          <w:lang w:val="fr-FR"/>
        </w:rPr>
        <w:t>09/2019-12/2019</w:t>
      </w:r>
    </w:p>
    <w:p>
      <w:pPr>
        <w:pStyle w:val="Corps"/>
        <w:bidi w:val="0"/>
      </w:pPr>
      <w:r>
        <w:rPr>
          <w:rtl w:val="0"/>
          <w:lang w:val="fr-FR"/>
        </w:rPr>
        <w:t>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er la structure conseil de Sodifrance en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marrant sur le marche de la Banque et de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Assurance</w:t>
      </w:r>
    </w:p>
    <w:p>
      <w:pPr>
        <w:pStyle w:val="Titre secondaire"/>
        <w:bidi w:val="0"/>
      </w:pPr>
      <w:r>
        <w:rPr>
          <w:rFonts w:cs="Arial Unicode MS" w:eastAsia="Arial Unicode MS"/>
          <w:rtl w:val="0"/>
          <w:lang w:val="fr-FR"/>
        </w:rPr>
        <w:t>Directeur associe, creative consulting, RENNES</w:t>
      </w:r>
      <w:r>
        <w:rPr>
          <w:rFonts w:cs="Arial Unicode MS" w:eastAsia="Arial Unicode MS" w:hint="default"/>
          <w:rtl w:val="0"/>
          <w:lang w:val="en-US"/>
        </w:rPr>
        <w:t xml:space="preserve"> — </w:t>
      </w:r>
      <w:r>
        <w:rPr>
          <w:rFonts w:cs="Arial Unicode MS" w:eastAsia="Arial Unicode MS"/>
          <w:rtl w:val="0"/>
          <w:lang w:val="fr-FR"/>
        </w:rPr>
        <w:t>2017-2019</w:t>
      </w:r>
    </w:p>
    <w:p>
      <w:pPr>
        <w:pStyle w:val="Corps"/>
        <w:bidi w:val="0"/>
      </w:pPr>
      <w:r>
        <w:rPr>
          <w:rtl w:val="0"/>
          <w:lang w:val="fr-FR"/>
        </w:rPr>
        <w:t>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ation de la filiale conseil de Creative Ing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nierie (</w:t>
      </w:r>
      <w:r>
        <w:rPr>
          <w:rtl w:val="0"/>
        </w:rPr>
        <w:t>R</w:t>
      </w:r>
      <w:r>
        <w:rPr>
          <w:rtl w:val="0"/>
        </w:rPr>
        <w:t>é</w:t>
      </w:r>
      <w:r>
        <w:rPr>
          <w:rtl w:val="0"/>
        </w:rPr>
        <w:t>sultats 15 consultants recrut</w:t>
      </w:r>
      <w:r>
        <w:rPr>
          <w:rtl w:val="0"/>
        </w:rPr>
        <w:t>é</w:t>
      </w:r>
      <w:r>
        <w:rPr>
          <w:rtl w:val="0"/>
        </w:rPr>
        <w:t>s et avec une mission, CA 2019 2</w:t>
      </w:r>
      <w:r>
        <w:rPr>
          <w:rtl w:val="0"/>
          <w:lang w:val="fr-FR"/>
        </w:rPr>
        <w:t xml:space="preserve"> </w:t>
      </w:r>
      <w:r>
        <w:rPr>
          <w:rtl w:val="0"/>
        </w:rPr>
        <w:t>M</w:t>
      </w:r>
      <w:r>
        <w:rPr>
          <w:rtl w:val="0"/>
        </w:rPr>
        <w:t>€</w:t>
      </w:r>
      <w:r>
        <w:rPr>
          <w:rtl w:val="0"/>
        </w:rPr>
        <w:t>) - Clients : M</w:t>
      </w:r>
      <w:r>
        <w:rPr>
          <w:rtl w:val="0"/>
          <w:lang w:val="fr-FR"/>
        </w:rPr>
        <w:t>utavie</w:t>
      </w:r>
      <w:r>
        <w:rPr>
          <w:rtl w:val="0"/>
        </w:rPr>
        <w:t xml:space="preserve"> (Macif Vie), Arkea, Suravenir, Verlingue, MAIF.</w:t>
      </w:r>
    </w:p>
    <w:p>
      <w:pPr>
        <w:pStyle w:val="Titre secondaire"/>
        <w:bidi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itre secondaire"/>
        <w:bidi w:val="0"/>
      </w:pPr>
      <w:r>
        <w:rPr>
          <w:rFonts w:cs="Arial Unicode MS" w:eastAsia="Arial Unicode MS"/>
          <w:rtl w:val="0"/>
          <w:lang w:val="fr-FR"/>
        </w:rPr>
        <w:t>manager, WAVESTONE, NANTES</w:t>
      </w:r>
      <w:r>
        <w:rPr>
          <w:rFonts w:cs="Arial Unicode MS" w:eastAsia="Arial Unicode MS" w:hint="default"/>
          <w:rtl w:val="0"/>
          <w:lang w:val="en-US"/>
        </w:rPr>
        <w:t xml:space="preserve"> — </w:t>
      </w:r>
      <w:r>
        <w:rPr>
          <w:rFonts w:cs="Arial Unicode MS" w:eastAsia="Arial Unicode MS"/>
          <w:rtl w:val="0"/>
          <w:lang w:val="fr-FR"/>
        </w:rPr>
        <w:t>2015-2017</w:t>
      </w:r>
    </w:p>
    <w:p>
      <w:pPr>
        <w:pStyle w:val="Corps"/>
        <w:bidi w:val="0"/>
      </w:pPr>
      <w:r>
        <w:rPr>
          <w:rtl w:val="0"/>
          <w:lang w:val="fr-FR"/>
        </w:rPr>
        <w:t>Responsable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 xml:space="preserve">une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quipe de 2 consultants (Gain de trois missions longues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la MAIF, KEREIS, Suravenir)</w:t>
      </w:r>
    </w:p>
    <w:p>
      <w:pPr>
        <w:pStyle w:val="Titre secondaire"/>
        <w:bidi w:val="0"/>
      </w:pPr>
      <w:r>
        <w:rPr>
          <w:rFonts w:cs="Arial Unicode MS" w:eastAsia="Arial Unicode MS"/>
          <w:rtl w:val="0"/>
          <w:lang w:val="fr-FR"/>
        </w:rPr>
        <w:t>Agent general, mutuelle de poitiers &amp; courtier, RENNES</w:t>
      </w:r>
      <w:r>
        <w:rPr>
          <w:rFonts w:cs="Arial Unicode MS" w:eastAsia="Arial Unicode MS" w:hint="default"/>
          <w:rtl w:val="0"/>
          <w:lang w:val="en-US"/>
        </w:rPr>
        <w:t xml:space="preserve"> — </w:t>
      </w:r>
      <w:r>
        <w:rPr>
          <w:rFonts w:cs="Arial Unicode MS" w:eastAsia="Arial Unicode MS"/>
          <w:rtl w:val="0"/>
          <w:lang w:val="fr-FR"/>
        </w:rPr>
        <w:t>2005-2015</w:t>
      </w:r>
    </w:p>
    <w:p>
      <w:pPr>
        <w:pStyle w:val="Corps"/>
        <w:bidi w:val="0"/>
      </w:pPr>
      <w:r>
        <w:rPr>
          <w:rtl w:val="0"/>
          <w:lang w:val="fr-FR"/>
        </w:rPr>
        <w:t>Reprise de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agence rennaise de la Mutuelle de Poitiers et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ation du cabinet de courtage Continuum pour les risques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entreprise (R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sultats pour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agence Mutuelle de Poitiers +10% de clients et 25% en CA sur les 10 ans, pour le cabinet en 6 ans un CA de 300K</w:t>
      </w:r>
      <w:r>
        <w:rPr>
          <w:rtl w:val="0"/>
          <w:lang w:val="fr-FR"/>
        </w:rPr>
        <w:t>€</w:t>
      </w:r>
      <w:r>
        <w:rPr>
          <w:rtl w:val="0"/>
          <w:lang w:val="fr-FR"/>
        </w:rPr>
        <w:t>)</w:t>
      </w:r>
      <w:r>
        <w:rPr>
          <w:rtl w:val="0"/>
        </w:rPr>
        <w:t>.</w:t>
      </w:r>
    </w:p>
    <w:p>
      <w:pPr>
        <w:pStyle w:val="Titre secondaire"/>
        <w:bidi w:val="0"/>
      </w:pPr>
      <w:r>
        <w:rPr>
          <w:rFonts w:cs="Arial Unicode MS" w:eastAsia="Arial Unicode MS"/>
          <w:rtl w:val="0"/>
          <w:lang w:val="fr-FR"/>
        </w:rPr>
        <w:t>Directeur, UNILOG, TOURS</w:t>
      </w:r>
      <w:r>
        <w:rPr>
          <w:rFonts w:cs="Arial Unicode MS" w:eastAsia="Arial Unicode MS" w:hint="default"/>
          <w:rtl w:val="0"/>
          <w:lang w:val="en-US"/>
        </w:rPr>
        <w:t xml:space="preserve"> — </w:t>
      </w:r>
      <w:r>
        <w:rPr>
          <w:rFonts w:cs="Arial Unicode MS" w:eastAsia="Arial Unicode MS"/>
          <w:rtl w:val="0"/>
          <w:lang w:val="fr-FR"/>
        </w:rPr>
        <w:t>2001-2005</w:t>
      </w:r>
    </w:p>
    <w:p>
      <w:pPr>
        <w:pStyle w:val="Corps"/>
        <w:bidi w:val="0"/>
      </w:pPr>
      <w:r>
        <w:rPr>
          <w:rtl w:val="0"/>
          <w:lang w:val="fr-FR"/>
        </w:rPr>
        <w:t>Directeur Commercial de la Business Division WEST (20 commerciaux) &amp; Directeur P&amp;L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gion Centre (R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sultats : croissance annuelle moyenne de 5% de la BD et de 8% de la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gion Centre) -  Clients : MINEFI, SNCF, La Poste, MAIF, MACIF, ARKEA, Malakoff Humanis, ag2r, COVEA</w:t>
      </w:r>
      <w:r>
        <w:rPr>
          <w:rtl w:val="0"/>
        </w:rPr>
        <w:t>.</w:t>
      </w:r>
    </w:p>
    <w:p>
      <w:pPr>
        <w:pStyle w:val="Titre secondaire"/>
        <w:bidi w:val="0"/>
      </w:pPr>
      <w:r>
        <w:rPr>
          <w:rFonts w:cs="Arial Unicode MS" w:eastAsia="Arial Unicode MS"/>
          <w:rtl w:val="0"/>
          <w:lang w:val="fr-FR"/>
        </w:rPr>
        <w:t>Directeur d</w:t>
      </w:r>
      <w:r>
        <w:rPr>
          <w:rFonts w:cs="Arial Unicode MS" w:eastAsia="Arial Unicode MS" w:hint="default"/>
          <w:rtl w:val="0"/>
          <w:lang w:val="fr-FR"/>
        </w:rPr>
        <w:t>’</w:t>
      </w:r>
      <w:r>
        <w:rPr>
          <w:rFonts w:cs="Arial Unicode MS" w:eastAsia="Arial Unicode MS"/>
          <w:rtl w:val="0"/>
          <w:lang w:val="fr-FR"/>
        </w:rPr>
        <w:t>agence, COFRAMI, TOUrs</w:t>
      </w:r>
      <w:r>
        <w:rPr>
          <w:rFonts w:cs="Arial Unicode MS" w:eastAsia="Arial Unicode MS" w:hint="default"/>
          <w:rtl w:val="0"/>
          <w:lang w:val="en-US"/>
        </w:rPr>
        <w:t xml:space="preserve"> — </w:t>
      </w:r>
      <w:r>
        <w:rPr>
          <w:rFonts w:cs="Arial Unicode MS" w:eastAsia="Arial Unicode MS"/>
          <w:rtl w:val="0"/>
          <w:lang w:val="fr-FR"/>
        </w:rPr>
        <w:t>1999-2001</w:t>
      </w:r>
    </w:p>
    <w:p>
      <w:pPr>
        <w:pStyle w:val="Corps"/>
        <w:bidi w:val="0"/>
      </w:pPr>
      <w:r>
        <w:rPr>
          <w:rtl w:val="0"/>
          <w:lang w:val="fr-FR"/>
        </w:rPr>
        <w:t>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ation de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agence de Tours (R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sultats : 15 consultants recrut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s, 5 clients ouverts (Thales, MBDA, Magneti Marelli, MAAF, Mutuelle de Poitiers).</w:t>
      </w:r>
    </w:p>
    <w:p>
      <w:pPr>
        <w:pStyle w:val="Titre secondaire"/>
        <w:bidi w:val="0"/>
      </w:pPr>
      <w:r>
        <w:rPr>
          <w:rFonts w:cs="Arial Unicode MS" w:eastAsia="Arial Unicode MS"/>
          <w:rtl w:val="0"/>
          <w:lang w:val="fr-FR"/>
        </w:rPr>
        <w:t>COMMERCIAL, Bull, Tours</w:t>
      </w:r>
      <w:r>
        <w:rPr>
          <w:rFonts w:cs="Arial Unicode MS" w:eastAsia="Arial Unicode MS" w:hint="default"/>
          <w:rtl w:val="0"/>
          <w:lang w:val="en-US"/>
        </w:rPr>
        <w:t xml:space="preserve"> — </w:t>
      </w:r>
      <w:r>
        <w:rPr>
          <w:rFonts w:cs="Arial Unicode MS" w:eastAsia="Arial Unicode MS"/>
          <w:rtl w:val="0"/>
          <w:lang w:val="fr-FR"/>
        </w:rPr>
        <w:t>1994-1999</w:t>
      </w:r>
    </w:p>
    <w:p>
      <w:pPr>
        <w:pStyle w:val="Corps"/>
        <w:bidi w:val="0"/>
      </w:pPr>
      <w:r>
        <w:rPr>
          <w:rtl w:val="0"/>
          <w:lang w:val="fr-FR"/>
        </w:rPr>
        <w:t>Commercial Banque et Assurance (R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sultats :  4 ans sur 5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plus de 110% des objectifs) - Clients :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dit Agricole, Caisse d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 xml:space="preserve">pargne, Banque Populaire, MAIF, MAAF, MMA, GMF, Mutuelle de Poitiers, CNP, </w:t>
      </w:r>
      <w:r>
        <w:rPr>
          <w:rtl w:val="0"/>
          <w:lang w:val="fr-FR"/>
        </w:rPr>
        <w:t>…</w:t>
      </w:r>
      <w:r>
        <w:rPr>
          <w:rtl w:val="0"/>
          <w:lang w:val="fr-FR"/>
        </w:rPr>
        <w:t>.).</w:t>
      </w:r>
    </w:p>
    <w:p>
      <w:pPr>
        <w:pStyle w:val="Corps"/>
        <w:bidi w:val="0"/>
      </w:pPr>
    </w:p>
    <w:p>
      <w:pPr>
        <w:pStyle w:val="Titre"/>
        <w:bidi w:val="0"/>
      </w:pPr>
      <w:r>
        <w:rPr>
          <w:rFonts w:cs="Arial Unicode MS" w:eastAsia="Arial Unicode MS" w:hint="default"/>
          <w:rtl w:val="0"/>
          <w:lang w:val="fr-FR"/>
        </w:rPr>
        <w:t>É</w:t>
      </w:r>
      <w:r>
        <w:rPr>
          <w:rFonts w:cs="Arial Unicode MS" w:eastAsia="Arial Unicode MS"/>
          <w:rtl w:val="0"/>
        </w:rPr>
        <w:t>tudes</w:t>
      </w:r>
    </w:p>
    <w:p>
      <w:pPr>
        <w:pStyle w:val="Corps"/>
        <w:bidi w:val="0"/>
      </w:pPr>
      <w:r>
        <w:rPr>
          <w:rtl w:val="0"/>
          <w:lang w:val="fr-FR"/>
        </w:rPr>
        <w:t>ENSEIRB, Bordeaux, Ing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nieur</w:t>
      </w:r>
      <w:r>
        <w:rPr>
          <w:rtl w:val="0"/>
        </w:rPr>
        <w:t xml:space="preserve"> — </w:t>
      </w:r>
      <w:r>
        <w:rPr>
          <w:rtl w:val="0"/>
          <w:lang w:val="fr-FR"/>
        </w:rPr>
        <w:t>1994</w:t>
      </w:r>
    </w:p>
    <w:p>
      <w:pPr>
        <w:pStyle w:val="Corps"/>
        <w:bidi w:val="0"/>
      </w:pPr>
      <w:r>
        <w:rPr>
          <w:rtl w:val="0"/>
          <w:lang w:val="fr-FR"/>
        </w:rPr>
        <w:t>IAE, Bordeaux - 1994</w:t>
      </w:r>
    </w:p>
    <w:p>
      <w:pPr>
        <w:pStyle w:val="Corps"/>
        <w:bidi w:val="0"/>
      </w:pPr>
      <w:r>
        <w:rPr>
          <w:rtl w:val="0"/>
          <w:lang w:val="fr-FR"/>
        </w:rPr>
        <w:t>Docteur, Bordeaux, Math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matiques - 1998</w:t>
      </w:r>
    </w:p>
    <w:p>
      <w:pPr>
        <w:pStyle w:val="Corps"/>
        <w:bidi w:val="0"/>
      </w:pPr>
    </w:p>
    <w:p>
      <w:pPr>
        <w:pStyle w:val="Titre"/>
        <w:bidi w:val="0"/>
      </w:pPr>
      <w:r>
        <w:rPr>
          <w:rFonts w:cs="Arial Unicode MS" w:eastAsia="Arial Unicode MS"/>
          <w:rtl w:val="0"/>
          <w:lang w:val="fr-FR"/>
        </w:rPr>
        <w:t>Passions</w:t>
      </w:r>
    </w:p>
    <w:p>
      <w:pPr>
        <w:pStyle w:val="Corps"/>
        <w:bidi w:val="0"/>
      </w:pPr>
      <w:r>
        <w:rPr>
          <w:rtl w:val="0"/>
          <w:lang w:val="fr-FR"/>
        </w:rPr>
        <w:t>Voyages - Lecture - Sports (Rugby, Voile, Squash, Tennis)</w:t>
      </w:r>
    </w:p>
    <w:p>
      <w:pPr>
        <w:pStyle w:val="Titre"/>
        <w:bidi w:val="0"/>
      </w:pPr>
      <w:r>
        <w:rPr>
          <w:rFonts w:cs="Arial Unicode MS" w:eastAsia="Arial Unicode MS"/>
          <w:rtl w:val="0"/>
          <w:lang w:val="fr-FR"/>
        </w:rPr>
        <w:t>R</w:t>
      </w:r>
      <w:r>
        <w:rPr>
          <w:rFonts w:cs="Arial Unicode MS" w:eastAsia="Arial Unicode MS" w:hint="default"/>
          <w:rtl w:val="0"/>
          <w:lang w:val="fr-FR"/>
        </w:rPr>
        <w:t>é</w:t>
      </w:r>
      <w:r>
        <w:rPr>
          <w:rFonts w:cs="Arial Unicode MS" w:eastAsia="Arial Unicode MS"/>
          <w:rtl w:val="0"/>
          <w:lang w:val="fr-FR"/>
        </w:rPr>
        <w:t>f</w:t>
      </w:r>
      <w:r>
        <w:rPr>
          <w:rFonts w:cs="Arial Unicode MS" w:eastAsia="Arial Unicode MS" w:hint="default"/>
          <w:rtl w:val="0"/>
          <w:lang w:val="fr-FR"/>
        </w:rPr>
        <w:t>é</w:t>
      </w:r>
      <w:r>
        <w:rPr>
          <w:rFonts w:cs="Arial Unicode MS" w:eastAsia="Arial Unicode MS"/>
          <w:rtl w:val="0"/>
          <w:lang w:val="fr-FR"/>
        </w:rPr>
        <w:t>rences</w:t>
      </w:r>
    </w:p>
    <w:p>
      <w:pPr>
        <w:pStyle w:val="Corps"/>
        <w:bidi w:val="0"/>
      </w:pPr>
      <w:r>
        <w:rPr>
          <w:rtl w:val="0"/>
          <w:lang w:val="fr-FR"/>
        </w:rPr>
        <w:t>Dominique Charrieau, DG BD Ouest, 0611707657 - Pierre Gauthier,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sident groupe Apside, 0635527839 - Jean Fran</w:t>
      </w:r>
      <w:r>
        <w:rPr>
          <w:rtl w:val="0"/>
          <w:lang w:val="fr-FR"/>
        </w:rPr>
        <w:t>ç</w:t>
      </w:r>
      <w:r>
        <w:rPr>
          <w:rtl w:val="0"/>
          <w:lang w:val="fr-FR"/>
        </w:rPr>
        <w:t>ois Crosnier, DG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gion Bull, 0614440165 - Olivier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sert, DG Mutuelle de Poitiers, 0549374937</w:t>
      </w:r>
    </w:p>
    <w:sectPr>
      <w:headerReference w:type="default" r:id="rId5"/>
      <w:footerReference w:type="default" r:id="rId6"/>
      <w:pgSz w:w="11906" w:h="16838" w:orient="portrait"/>
      <w:pgMar w:top="2000" w:right="1800" w:bottom="1800" w:left="2200" w:header="1080" w:footer="108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venir Next Medium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m">
    <w:name w:val="Nom"/>
    <w:next w:val="Corps"/>
    <w:pPr>
      <w:keepNext w:val="0"/>
      <w:keepLines w:val="0"/>
      <w:pageBreakBefore w:val="0"/>
      <w:widowControl w:val="1"/>
      <w:shd w:val="clear" w:color="auto" w:fill="auto"/>
      <w:tabs>
        <w:tab w:val="left" w:pos="1000"/>
      </w:tabs>
      <w:suppressAutoHyphens w:val="0"/>
      <w:bidi w:val="0"/>
      <w:spacing w:before="0" w:after="0" w:line="288" w:lineRule="auto"/>
      <w:ind w:left="0" w:right="0" w:firstLine="0"/>
      <w:jc w:val="left"/>
      <w:outlineLvl w:val="0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28"/>
      <w:szCs w:val="28"/>
      <w:u w:val="none"/>
      <w:shd w:val="nil" w:color="auto" w:fill="auto"/>
      <w:vertAlign w:val="baseline"/>
      <w14:textOutline>
        <w14:noFill/>
      </w14:textOutline>
      <w14:textFill>
        <w14:solidFill>
          <w14:srgbClr w14:val="60606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Informations de contact">
    <w:name w:val="Informations de contact"/>
    <w:next w:val="Informations de contact"/>
    <w:pPr>
      <w:keepNext w:val="0"/>
      <w:keepLines w:val="0"/>
      <w:pageBreakBefore w:val="0"/>
      <w:widowControl w:val="1"/>
      <w:shd w:val="clear" w:color="auto" w:fill="auto"/>
      <w:tabs>
        <w:tab w:val="left" w:pos="40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re">
    <w:name w:val="Titre"/>
    <w:next w:val="Corps"/>
    <w:pPr>
      <w:keepNext w:val="0"/>
      <w:keepLines w:val="0"/>
      <w:pageBreakBefore w:val="0"/>
      <w:widowControl w:val="1"/>
      <w:shd w:val="clear" w:color="auto" w:fill="auto"/>
      <w:tabs>
        <w:tab w:val="left" w:pos="1000"/>
      </w:tabs>
      <w:suppressAutoHyphens w:val="0"/>
      <w:bidi w:val="0"/>
      <w:spacing w:before="0" w:after="0" w:line="288" w:lineRule="auto"/>
      <w:ind w:left="0" w:right="0" w:firstLine="0"/>
      <w:jc w:val="left"/>
      <w:outlineLvl w:val="0"/>
    </w:pPr>
    <w:rPr>
      <w:rFonts w:ascii="Avenir Next Medium" w:cs="Avenir Next Medium" w:hAnsi="Avenir Next Medium" w:eastAsia="Avenir Next Medium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28"/>
      <w:szCs w:val="28"/>
      <w:u w:val="none"/>
      <w:shd w:val="nil" w:color="auto" w:fill="auto"/>
      <w:vertAlign w:val="baseline"/>
      <w14:textOutline>
        <w14:noFill/>
      </w14:textOutline>
      <w14:textFill>
        <w14:solidFill>
          <w14:srgbClr w14:val="606060"/>
        </w14:solidFill>
      </w14:textFill>
    </w:rPr>
  </w:style>
  <w:style w:type="paragraph" w:styleId="Titre secondaire">
    <w:name w:val="Titre secondaire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88" w:lineRule="auto"/>
      <w:ind w:left="0" w:right="0" w:firstLine="0"/>
      <w:jc w:val="left"/>
      <w:outlineLvl w:val="0"/>
    </w:pPr>
    <w:rPr>
      <w:rFonts w:ascii="Avenir Next Regular" w:cs="Avenir Next Regular" w:hAnsi="Avenir Next Regular" w:eastAsia="Avenir Next Regular"/>
      <w:b w:val="1"/>
      <w:bCs w:val="1"/>
      <w:i w:val="0"/>
      <w:iCs w:val="0"/>
      <w:caps w:val="1"/>
      <w:strike w:val="0"/>
      <w:dstrike w:val="0"/>
      <w:outline w:val="0"/>
      <w:color w:val="7a7a7a"/>
      <w:spacing w:val="0"/>
      <w:kern w:val="0"/>
      <w:position w:val="0"/>
      <w:sz w:val="16"/>
      <w:szCs w:val="16"/>
      <w:u w:val="none"/>
      <w:shd w:val="nil" w:color="auto" w:fill="auto"/>
      <w:vertAlign w:val="baseline"/>
      <w14:textOutline>
        <w14:noFill/>
      </w14:textOutline>
      <w14:textFill>
        <w14:solidFill>
          <w14:srgbClr w14:val="7A7A7A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3_Theme_Resume">
  <a:themeElements>
    <a:clrScheme name="03_Theme_Resume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Theme_Resume">
      <a:majorFont>
        <a:latin typeface="Baskerville"/>
        <a:ea typeface="Baskerville"/>
        <a:cs typeface="Baskerville"/>
      </a:majorFont>
      <a:minorFont>
        <a:latin typeface="Avenir Next Demi Bold"/>
        <a:ea typeface="Avenir Next Demi Bold"/>
        <a:cs typeface="Avenir Next Demi Bold"/>
      </a:minorFont>
    </a:fontScheme>
    <a:fmtScheme name="03_Theme_Resu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lumOff val="478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1" spc="0" strike="noStrike" sz="1200" u="none" kumimoji="0" normalizeH="0">
            <a:ln>
              <a:noFill/>
            </a:ln>
            <a:solidFill>
              <a:srgbClr val="222222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